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10A0" w14:textId="77777777" w:rsidR="00BE24D3" w:rsidRDefault="00BE24D3" w:rsidP="00BE24D3">
      <w:pPr>
        <w:rPr>
          <w:b/>
          <w:bCs/>
        </w:rPr>
      </w:pPr>
      <w:r>
        <w:rPr>
          <w:noProof/>
        </w:rPr>
        <w:drawing>
          <wp:inline distT="0" distB="0" distL="0" distR="0" wp14:anchorId="39A03D6F" wp14:editId="5361A3F7">
            <wp:extent cx="5728335" cy="722630"/>
            <wp:effectExtent l="0" t="0" r="0" b="1270"/>
            <wp:docPr id="2" name="Picture 1">
              <a:extLst xmlns:a="http://schemas.openxmlformats.org/drawingml/2006/main">
                <a:ext uri="{FF2B5EF4-FFF2-40B4-BE49-F238E27FC236}">
                  <a16:creationId xmlns:a16="http://schemas.microsoft.com/office/drawing/2014/main" id="{524FDEE0-AFD5-CD4D-B211-3C6A24AB2C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24FDEE0-AFD5-CD4D-B211-3C6A24AB2C96}"/>
                        </a:ext>
                      </a:extLst>
                    </pic:cNvPr>
                    <pic:cNvPicPr>
                      <a:picLocks noChangeAspect="1"/>
                    </pic:cNvPicPr>
                  </pic:nvPicPr>
                  <pic:blipFill>
                    <a:blip r:embed="rId5"/>
                    <a:stretch>
                      <a:fillRect/>
                    </a:stretch>
                  </pic:blipFill>
                  <pic:spPr>
                    <a:xfrm>
                      <a:off x="0" y="0"/>
                      <a:ext cx="5728335" cy="722630"/>
                    </a:xfrm>
                    <a:prstGeom prst="rect">
                      <a:avLst/>
                    </a:prstGeom>
                  </pic:spPr>
                </pic:pic>
              </a:graphicData>
            </a:graphic>
          </wp:inline>
        </w:drawing>
      </w:r>
    </w:p>
    <w:p w14:paraId="359B937B" w14:textId="77777777" w:rsidR="00BE24D3" w:rsidRDefault="00BE24D3" w:rsidP="00BE24D3">
      <w:pPr>
        <w:rPr>
          <w:b/>
          <w:bCs/>
        </w:rPr>
      </w:pPr>
    </w:p>
    <w:p w14:paraId="2C75A8DB" w14:textId="3C1446E0" w:rsidR="00BE24D3" w:rsidRPr="003066EC" w:rsidRDefault="00BE24D3" w:rsidP="00BE24D3">
      <w:pPr>
        <w:rPr>
          <w:rFonts w:ascii="Calibri" w:eastAsia="Times New Roman" w:hAnsi="Calibri" w:cs="Calibri"/>
          <w:b/>
          <w:bCs/>
          <w:color w:val="1F497D"/>
          <w:sz w:val="30"/>
          <w:szCs w:val="30"/>
          <w:lang w:eastAsia="en-GB"/>
        </w:rPr>
      </w:pPr>
      <w:r w:rsidRPr="003066EC">
        <w:rPr>
          <w:rFonts w:ascii="Calibri" w:eastAsia="Times New Roman" w:hAnsi="Calibri" w:cs="Calibri"/>
          <w:b/>
          <w:bCs/>
          <w:color w:val="1F497D"/>
          <w:sz w:val="30"/>
          <w:szCs w:val="30"/>
          <w:lang w:eastAsia="en-GB"/>
        </w:rPr>
        <w:t>Report &amp; Accounts - 202</w:t>
      </w:r>
      <w:r>
        <w:rPr>
          <w:rFonts w:ascii="Calibri" w:eastAsia="Times New Roman" w:hAnsi="Calibri" w:cs="Calibri"/>
          <w:b/>
          <w:bCs/>
          <w:color w:val="1F497D"/>
          <w:sz w:val="30"/>
          <w:szCs w:val="30"/>
          <w:lang w:eastAsia="en-GB"/>
        </w:rPr>
        <w:t>4</w:t>
      </w:r>
    </w:p>
    <w:p w14:paraId="38DBA4DD" w14:textId="77777777" w:rsidR="00BE24D3" w:rsidRPr="009C7D3E" w:rsidRDefault="00BE24D3" w:rsidP="00BE24D3">
      <w:pPr>
        <w:rPr>
          <w:b/>
          <w:bCs/>
        </w:rPr>
      </w:pPr>
    </w:p>
    <w:p w14:paraId="5D507AD0" w14:textId="2F0C574E" w:rsidR="00BE24D3" w:rsidRDefault="00BE24D3" w:rsidP="00BE24D3">
      <w:r w:rsidRPr="009C7D3E">
        <w:t>During 202</w:t>
      </w:r>
      <w:r>
        <w:t>4</w:t>
      </w:r>
      <w:r w:rsidRPr="009C7D3E">
        <w:t xml:space="preserve"> CSORC ran </w:t>
      </w:r>
      <w:r>
        <w:t>eight</w:t>
      </w:r>
      <w:r w:rsidRPr="009C7D3E">
        <w:t xml:space="preserve"> racing events</w:t>
      </w:r>
      <w:r>
        <w:t>, filling 67 crew-berths compared with 41 in 2022 (</w:t>
      </w:r>
      <w:r w:rsidR="009725E6">
        <w:t>the previous</w:t>
      </w:r>
      <w:r>
        <w:t xml:space="preserve"> non-</w:t>
      </w:r>
      <w:proofErr w:type="spellStart"/>
      <w:r>
        <w:t>Fastnet</w:t>
      </w:r>
      <w:proofErr w:type="spellEnd"/>
      <w:r>
        <w:t xml:space="preserve"> year)</w:t>
      </w:r>
      <w:r w:rsidRPr="009C7D3E">
        <w:t xml:space="preserve">.  </w:t>
      </w:r>
      <w:r>
        <w:t>T</w:t>
      </w:r>
      <w:r w:rsidRPr="009C7D3E">
        <w:t>hese events generated a surplus of £</w:t>
      </w:r>
      <w:r>
        <w:t>2,189</w:t>
      </w:r>
      <w:r w:rsidRPr="009C7D3E">
        <w:t xml:space="preserve">, </w:t>
      </w:r>
      <w:r>
        <w:t xml:space="preserve">which was supplemented by CSSA grants totalling £6,138 including </w:t>
      </w:r>
      <w:r w:rsidR="00A713A9">
        <w:t>those held over from 2023.  Overall, the surplus for the year was £8,709 bringing the Club’s Accumulated Fund to £32,327.</w:t>
      </w:r>
    </w:p>
    <w:p w14:paraId="3EF1514D" w14:textId="77777777" w:rsidR="00A713A9" w:rsidRDefault="00A713A9" w:rsidP="00BE24D3"/>
    <w:p w14:paraId="15D163CC" w14:textId="77DBD437" w:rsidR="00A713A9" w:rsidRDefault="00A713A9" w:rsidP="00BE24D3">
      <w:r>
        <w:t>Early in the year the Club introduced a new damage cost policy.  Under th</w:t>
      </w:r>
      <w:r w:rsidR="009725E6">
        <w:t>is</w:t>
      </w:r>
      <w:r>
        <w:t xml:space="preserve"> policy the individual liability of a crew member is limited to £50 per event, and the Club undertakes to meet the rest of any damage cost.  Within the management accounts, £5 per </w:t>
      </w:r>
      <w:r w:rsidR="009725E6">
        <w:t>crew-day is allocated from the berth fee to a separate Damage Cost Fund.  At the end of 2024 the DC fund stood at £1,040, and the General Fund at £31,287.</w:t>
      </w:r>
    </w:p>
    <w:p w14:paraId="2981F4D4" w14:textId="77777777" w:rsidR="009725E6" w:rsidRDefault="009725E6" w:rsidP="00BE24D3"/>
    <w:p w14:paraId="28CAF95E" w14:textId="018CD7DD" w:rsidR="009725E6" w:rsidRDefault="009725E6" w:rsidP="00BE24D3">
      <w:r>
        <w:t>I thank our independent examiner, Pete Shuttleworth, for his gentle oversight of and helpful advice on our accounts.</w:t>
      </w:r>
    </w:p>
    <w:p w14:paraId="7384772B" w14:textId="77777777" w:rsidR="00BE24D3" w:rsidRDefault="00BE24D3" w:rsidP="00BE24D3"/>
    <w:p w14:paraId="714ECF3D" w14:textId="77777777" w:rsidR="00BE24D3" w:rsidRPr="009C7D3E" w:rsidRDefault="00BE24D3" w:rsidP="00BE24D3"/>
    <w:p w14:paraId="777153B0" w14:textId="77777777" w:rsidR="00BE24D3" w:rsidRDefault="00BE24D3" w:rsidP="00BE24D3">
      <w:r w:rsidRPr="009C7D3E">
        <w:t>Phil Armitage</w:t>
      </w:r>
    </w:p>
    <w:p w14:paraId="51A482CB" w14:textId="77777777" w:rsidR="00BE24D3" w:rsidRPr="009C7D3E" w:rsidRDefault="00BE24D3" w:rsidP="00BE24D3">
      <w:r>
        <w:t>Treasurer CSORC</w:t>
      </w:r>
    </w:p>
    <w:p w14:paraId="2F3A8954" w14:textId="14C4EFB5" w:rsidR="00BE24D3" w:rsidRPr="009C7D3E" w:rsidRDefault="009725E6" w:rsidP="00BE24D3">
      <w:r>
        <w:t>14</w:t>
      </w:r>
      <w:r w:rsidR="00BE24D3" w:rsidRPr="009C7D3E">
        <w:t xml:space="preserve"> January 202</w:t>
      </w:r>
      <w:r>
        <w:t>5</w:t>
      </w:r>
    </w:p>
    <w:p w14:paraId="6F5C1243" w14:textId="5A457892" w:rsidR="00811EC9" w:rsidRDefault="00811EC9">
      <w:r>
        <w:br w:type="page"/>
      </w:r>
    </w:p>
    <w:p w14:paraId="7B703FF4" w14:textId="2B347952" w:rsidR="00811EC9" w:rsidRPr="00B759EB" w:rsidRDefault="00811EC9" w:rsidP="00811EC9">
      <w:pPr>
        <w:jc w:val="center"/>
        <w:rPr>
          <w:b/>
          <w:bCs/>
        </w:rPr>
      </w:pPr>
      <w:r w:rsidRPr="00811EC9">
        <w:lastRenderedPageBreak/>
        <w:drawing>
          <wp:inline distT="0" distB="0" distL="0" distR="0" wp14:anchorId="6DBD8B5A" wp14:editId="5F5520B8">
            <wp:extent cx="6578246" cy="9309100"/>
            <wp:effectExtent l="0" t="0" r="0" b="0"/>
            <wp:docPr id="699766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66998" name=""/>
                    <pic:cNvPicPr/>
                  </pic:nvPicPr>
                  <pic:blipFill>
                    <a:blip r:embed="rId6"/>
                    <a:stretch>
                      <a:fillRect/>
                    </a:stretch>
                  </pic:blipFill>
                  <pic:spPr>
                    <a:xfrm>
                      <a:off x="0" y="0"/>
                      <a:ext cx="6619255" cy="9367133"/>
                    </a:xfrm>
                    <a:prstGeom prst="rect">
                      <a:avLst/>
                    </a:prstGeom>
                  </pic:spPr>
                </pic:pic>
              </a:graphicData>
            </a:graphic>
          </wp:inline>
        </w:drawing>
      </w:r>
      <w:r w:rsidRPr="00811EC9">
        <w:rPr>
          <w:b/>
          <w:bCs/>
        </w:rPr>
        <w:t xml:space="preserve"> </w:t>
      </w:r>
      <w:r w:rsidRPr="00B759EB">
        <w:rPr>
          <w:b/>
          <w:bCs/>
        </w:rPr>
        <w:lastRenderedPageBreak/>
        <w:t>Independent Examiner’s Report to the Committee of</w:t>
      </w:r>
    </w:p>
    <w:p w14:paraId="1C527F16" w14:textId="77777777" w:rsidR="00811EC9" w:rsidRPr="00B759EB" w:rsidRDefault="00811EC9" w:rsidP="00811EC9">
      <w:pPr>
        <w:jc w:val="center"/>
        <w:rPr>
          <w:b/>
          <w:bCs/>
        </w:rPr>
      </w:pPr>
    </w:p>
    <w:p w14:paraId="23E223D2" w14:textId="77777777" w:rsidR="00811EC9" w:rsidRDefault="00811EC9" w:rsidP="00811EC9">
      <w:pPr>
        <w:pBdr>
          <w:bottom w:val="single" w:sz="12" w:space="1" w:color="auto"/>
        </w:pBdr>
        <w:jc w:val="center"/>
        <w:rPr>
          <w:b/>
          <w:bCs/>
        </w:rPr>
      </w:pPr>
      <w:r>
        <w:rPr>
          <w:b/>
          <w:bCs/>
        </w:rPr>
        <w:t>C</w:t>
      </w:r>
      <w:r w:rsidRPr="00B759EB">
        <w:rPr>
          <w:b/>
          <w:bCs/>
        </w:rPr>
        <w:t>ivil Service</w:t>
      </w:r>
      <w:r>
        <w:rPr>
          <w:b/>
          <w:bCs/>
        </w:rPr>
        <w:t xml:space="preserve"> Offshore Racing</w:t>
      </w:r>
      <w:r w:rsidRPr="00B759EB">
        <w:rPr>
          <w:b/>
          <w:bCs/>
        </w:rPr>
        <w:t xml:space="preserve"> Club (</w:t>
      </w:r>
      <w:r>
        <w:rPr>
          <w:b/>
          <w:bCs/>
        </w:rPr>
        <w:t>CSORC</w:t>
      </w:r>
      <w:r w:rsidRPr="00B759EB">
        <w:rPr>
          <w:b/>
          <w:bCs/>
        </w:rPr>
        <w:t>)</w:t>
      </w:r>
    </w:p>
    <w:p w14:paraId="3584E4F0" w14:textId="77777777" w:rsidR="00811EC9" w:rsidRDefault="00811EC9" w:rsidP="00811EC9">
      <w:pPr>
        <w:pBdr>
          <w:bottom w:val="single" w:sz="12" w:space="1" w:color="auto"/>
        </w:pBdr>
        <w:jc w:val="center"/>
        <w:rPr>
          <w:b/>
          <w:bCs/>
        </w:rPr>
      </w:pPr>
    </w:p>
    <w:p w14:paraId="464FA720" w14:textId="77777777" w:rsidR="00811EC9" w:rsidRPr="00B220CE" w:rsidRDefault="00811EC9" w:rsidP="00811EC9">
      <w:pPr>
        <w:pStyle w:val="NoSpacing"/>
        <w:rPr>
          <w:b/>
          <w:sz w:val="24"/>
          <w:szCs w:val="24"/>
        </w:rPr>
      </w:pPr>
    </w:p>
    <w:p w14:paraId="78CB4B97" w14:textId="77777777" w:rsidR="00811EC9" w:rsidRPr="00B220CE" w:rsidRDefault="00811EC9" w:rsidP="00811EC9">
      <w:pPr>
        <w:pStyle w:val="NoSpacing"/>
        <w:rPr>
          <w:sz w:val="24"/>
          <w:szCs w:val="24"/>
        </w:rPr>
      </w:pPr>
      <w:r w:rsidRPr="00B220CE">
        <w:rPr>
          <w:sz w:val="24"/>
          <w:szCs w:val="24"/>
        </w:rPr>
        <w:t xml:space="preserve">I report on the accounts for the </w:t>
      </w:r>
      <w:proofErr w:type="gramStart"/>
      <w:r>
        <w:rPr>
          <w:sz w:val="24"/>
          <w:szCs w:val="24"/>
        </w:rPr>
        <w:t>12 month</w:t>
      </w:r>
      <w:proofErr w:type="gramEnd"/>
      <w:r>
        <w:rPr>
          <w:sz w:val="24"/>
          <w:szCs w:val="24"/>
        </w:rPr>
        <w:t xml:space="preserve"> period</w:t>
      </w:r>
      <w:r w:rsidRPr="00B220CE">
        <w:rPr>
          <w:sz w:val="24"/>
          <w:szCs w:val="24"/>
        </w:rPr>
        <w:t xml:space="preserve"> ended </w:t>
      </w:r>
      <w:r>
        <w:rPr>
          <w:sz w:val="24"/>
          <w:szCs w:val="24"/>
        </w:rPr>
        <w:t>31</w:t>
      </w:r>
      <w:r w:rsidRPr="00C054C6">
        <w:rPr>
          <w:sz w:val="24"/>
          <w:szCs w:val="24"/>
          <w:vertAlign w:val="superscript"/>
        </w:rPr>
        <w:t>st</w:t>
      </w:r>
      <w:r>
        <w:rPr>
          <w:sz w:val="24"/>
          <w:szCs w:val="24"/>
        </w:rPr>
        <w:t xml:space="preserve"> December 2024</w:t>
      </w:r>
      <w:r w:rsidRPr="00B220CE">
        <w:rPr>
          <w:sz w:val="24"/>
          <w:szCs w:val="24"/>
        </w:rPr>
        <w:t xml:space="preserve"> undertaken in accordance with the Charity Commissioners guidelines.</w:t>
      </w:r>
    </w:p>
    <w:p w14:paraId="2A1FDF4F" w14:textId="77777777" w:rsidR="00811EC9" w:rsidRPr="00B220CE" w:rsidRDefault="00811EC9" w:rsidP="00811EC9">
      <w:pPr>
        <w:pStyle w:val="NoSpacing"/>
        <w:rPr>
          <w:sz w:val="24"/>
          <w:szCs w:val="24"/>
        </w:rPr>
      </w:pPr>
    </w:p>
    <w:p w14:paraId="23C6B27E" w14:textId="77777777" w:rsidR="00811EC9" w:rsidRDefault="00811EC9" w:rsidP="00811EC9">
      <w:pPr>
        <w:pStyle w:val="NoSpacing"/>
        <w:rPr>
          <w:b/>
          <w:sz w:val="24"/>
          <w:szCs w:val="24"/>
        </w:rPr>
      </w:pPr>
      <w:r w:rsidRPr="00B220CE">
        <w:rPr>
          <w:b/>
          <w:sz w:val="24"/>
          <w:szCs w:val="24"/>
        </w:rPr>
        <w:t>Respective responsibilities of the committee and examiner</w:t>
      </w:r>
    </w:p>
    <w:p w14:paraId="18BA489E" w14:textId="77777777" w:rsidR="00811EC9" w:rsidRPr="00B220CE" w:rsidRDefault="00811EC9" w:rsidP="00811EC9">
      <w:pPr>
        <w:pStyle w:val="NoSpacing"/>
        <w:rPr>
          <w:b/>
          <w:sz w:val="24"/>
          <w:szCs w:val="24"/>
        </w:rPr>
      </w:pPr>
    </w:p>
    <w:p w14:paraId="3D809BC2" w14:textId="77777777" w:rsidR="00811EC9" w:rsidRPr="00B220CE" w:rsidRDefault="00811EC9" w:rsidP="00811EC9">
      <w:pPr>
        <w:pStyle w:val="NoSpacing"/>
        <w:rPr>
          <w:sz w:val="24"/>
          <w:szCs w:val="24"/>
        </w:rPr>
      </w:pPr>
      <w:r>
        <w:rPr>
          <w:sz w:val="24"/>
          <w:szCs w:val="24"/>
        </w:rPr>
        <w:t>T</w:t>
      </w:r>
      <w:r w:rsidRPr="00B220CE">
        <w:rPr>
          <w:sz w:val="24"/>
          <w:szCs w:val="24"/>
        </w:rPr>
        <w:t>he</w:t>
      </w:r>
      <w:r>
        <w:rPr>
          <w:sz w:val="24"/>
          <w:szCs w:val="24"/>
        </w:rPr>
        <w:t xml:space="preserve"> CSORC</w:t>
      </w:r>
      <w:r w:rsidRPr="00B220CE">
        <w:rPr>
          <w:sz w:val="24"/>
          <w:szCs w:val="24"/>
        </w:rPr>
        <w:t xml:space="preserve"> committee</w:t>
      </w:r>
      <w:r>
        <w:rPr>
          <w:sz w:val="24"/>
          <w:szCs w:val="24"/>
        </w:rPr>
        <w:t xml:space="preserve"> is</w:t>
      </w:r>
      <w:r w:rsidRPr="00B220CE">
        <w:rPr>
          <w:sz w:val="24"/>
          <w:szCs w:val="24"/>
        </w:rPr>
        <w:t xml:space="preserve"> responsible for the preparation</w:t>
      </w:r>
      <w:r>
        <w:rPr>
          <w:sz w:val="24"/>
          <w:szCs w:val="24"/>
        </w:rPr>
        <w:t xml:space="preserve"> and acceptance</w:t>
      </w:r>
      <w:r w:rsidRPr="00B220CE">
        <w:rPr>
          <w:sz w:val="24"/>
          <w:szCs w:val="24"/>
        </w:rPr>
        <w:t xml:space="preserve"> of the accounts. </w:t>
      </w:r>
      <w:r>
        <w:rPr>
          <w:sz w:val="24"/>
          <w:szCs w:val="24"/>
        </w:rPr>
        <w:t xml:space="preserve">As part of this </w:t>
      </w:r>
      <w:proofErr w:type="gramStart"/>
      <w:r>
        <w:rPr>
          <w:sz w:val="24"/>
          <w:szCs w:val="24"/>
        </w:rPr>
        <w:t>process</w:t>
      </w:r>
      <w:proofErr w:type="gramEnd"/>
      <w:r>
        <w:rPr>
          <w:sz w:val="24"/>
          <w:szCs w:val="24"/>
        </w:rPr>
        <w:t xml:space="preserve"> you</w:t>
      </w:r>
      <w:r w:rsidRPr="00B220CE">
        <w:rPr>
          <w:sz w:val="24"/>
          <w:szCs w:val="24"/>
        </w:rPr>
        <w:t xml:space="preserve"> </w:t>
      </w:r>
      <w:r>
        <w:rPr>
          <w:sz w:val="24"/>
          <w:szCs w:val="24"/>
        </w:rPr>
        <w:t xml:space="preserve">have asked me to independently review the financial records as this </w:t>
      </w:r>
      <w:r w:rsidRPr="00B220CE">
        <w:rPr>
          <w:sz w:val="24"/>
          <w:szCs w:val="24"/>
        </w:rPr>
        <w:t xml:space="preserve">builds trust amongst readers of the Statement of Account e.g. CSSA, </w:t>
      </w:r>
      <w:r>
        <w:rPr>
          <w:sz w:val="24"/>
          <w:szCs w:val="24"/>
        </w:rPr>
        <w:t>CSORC</w:t>
      </w:r>
      <w:r w:rsidRPr="00B220CE">
        <w:rPr>
          <w:sz w:val="24"/>
          <w:szCs w:val="24"/>
        </w:rPr>
        <w:t xml:space="preserve"> committee and members, potential members etc. </w:t>
      </w:r>
    </w:p>
    <w:p w14:paraId="09E42A76" w14:textId="77777777" w:rsidR="00811EC9" w:rsidRPr="00B220CE" w:rsidRDefault="00811EC9" w:rsidP="00811EC9">
      <w:pPr>
        <w:pStyle w:val="NoSpacing"/>
        <w:rPr>
          <w:sz w:val="24"/>
          <w:szCs w:val="24"/>
        </w:rPr>
      </w:pPr>
    </w:p>
    <w:p w14:paraId="113DA133" w14:textId="77777777" w:rsidR="00811EC9" w:rsidRDefault="00811EC9" w:rsidP="00811EC9">
      <w:pPr>
        <w:pStyle w:val="NoSpacing"/>
        <w:rPr>
          <w:b/>
          <w:sz w:val="24"/>
          <w:szCs w:val="24"/>
        </w:rPr>
      </w:pPr>
      <w:r w:rsidRPr="00B220CE">
        <w:rPr>
          <w:b/>
          <w:sz w:val="24"/>
          <w:szCs w:val="24"/>
        </w:rPr>
        <w:t>Basis of Independent examiner’s statement</w:t>
      </w:r>
    </w:p>
    <w:p w14:paraId="045DDB14" w14:textId="77777777" w:rsidR="00811EC9" w:rsidRPr="00B220CE" w:rsidRDefault="00811EC9" w:rsidP="00811EC9">
      <w:pPr>
        <w:pStyle w:val="NoSpacing"/>
        <w:rPr>
          <w:b/>
          <w:sz w:val="24"/>
          <w:szCs w:val="24"/>
        </w:rPr>
      </w:pPr>
    </w:p>
    <w:p w14:paraId="1FAA2E90" w14:textId="77777777" w:rsidR="00811EC9" w:rsidRPr="00B220CE" w:rsidRDefault="00811EC9" w:rsidP="00811EC9">
      <w:pPr>
        <w:pStyle w:val="NoSpacing"/>
        <w:rPr>
          <w:sz w:val="24"/>
          <w:szCs w:val="24"/>
        </w:rPr>
      </w:pPr>
      <w:r w:rsidRPr="00B220CE">
        <w:rPr>
          <w:sz w:val="24"/>
          <w:szCs w:val="24"/>
        </w:rPr>
        <w:t>My examination was carried out in line with the guidelines given by the Charity Commissioners. This examination includes a review of the accounts presented with those records. It also includes consideration of any unusual items or disclosures in the accounts and my seeking clarification (as required), from you as committee members. These procedures do not provide all the evidence normally required in an audit, and I am not obliged to express an audit opinion on the view given by the accounts.</w:t>
      </w:r>
    </w:p>
    <w:p w14:paraId="5EC908CD" w14:textId="77777777" w:rsidR="00811EC9" w:rsidRPr="00B220CE" w:rsidRDefault="00811EC9" w:rsidP="00811EC9">
      <w:pPr>
        <w:pStyle w:val="NoSpacing"/>
        <w:rPr>
          <w:sz w:val="24"/>
          <w:szCs w:val="24"/>
        </w:rPr>
      </w:pPr>
    </w:p>
    <w:p w14:paraId="61638D0B" w14:textId="77777777" w:rsidR="00811EC9" w:rsidRPr="00B220CE" w:rsidRDefault="00811EC9" w:rsidP="00811EC9">
      <w:pPr>
        <w:pStyle w:val="NoSpacing"/>
        <w:rPr>
          <w:sz w:val="24"/>
          <w:szCs w:val="24"/>
        </w:rPr>
      </w:pPr>
    </w:p>
    <w:p w14:paraId="4326C067" w14:textId="77777777" w:rsidR="00811EC9" w:rsidRDefault="00811EC9" w:rsidP="00811EC9">
      <w:pPr>
        <w:pStyle w:val="NoSpacing"/>
        <w:rPr>
          <w:b/>
          <w:sz w:val="24"/>
          <w:szCs w:val="24"/>
        </w:rPr>
      </w:pPr>
      <w:r w:rsidRPr="00B220CE">
        <w:rPr>
          <w:b/>
          <w:sz w:val="24"/>
          <w:szCs w:val="24"/>
        </w:rPr>
        <w:t>Independent examiner’s statement</w:t>
      </w:r>
    </w:p>
    <w:p w14:paraId="40B00E5A" w14:textId="77777777" w:rsidR="00811EC9" w:rsidRPr="00B220CE" w:rsidRDefault="00811EC9" w:rsidP="00811EC9">
      <w:pPr>
        <w:pStyle w:val="NoSpacing"/>
        <w:rPr>
          <w:b/>
          <w:sz w:val="24"/>
          <w:szCs w:val="24"/>
        </w:rPr>
      </w:pPr>
    </w:p>
    <w:p w14:paraId="3D2371DB" w14:textId="77777777" w:rsidR="00811EC9" w:rsidRPr="00B220CE" w:rsidRDefault="00811EC9" w:rsidP="00811EC9">
      <w:pPr>
        <w:pStyle w:val="NoSpacing"/>
        <w:rPr>
          <w:sz w:val="24"/>
          <w:szCs w:val="24"/>
        </w:rPr>
      </w:pPr>
      <w:r w:rsidRPr="00B220CE">
        <w:rPr>
          <w:sz w:val="24"/>
          <w:szCs w:val="24"/>
        </w:rPr>
        <w:t>In connection with my examination, no matter has come to my attention:</w:t>
      </w:r>
    </w:p>
    <w:p w14:paraId="13D3AC43" w14:textId="77777777" w:rsidR="00811EC9" w:rsidRPr="00B220CE" w:rsidRDefault="00811EC9" w:rsidP="00811EC9">
      <w:pPr>
        <w:pStyle w:val="NoSpacing"/>
        <w:rPr>
          <w:sz w:val="24"/>
          <w:szCs w:val="24"/>
        </w:rPr>
      </w:pPr>
    </w:p>
    <w:p w14:paraId="3A8447AE" w14:textId="77777777" w:rsidR="00811EC9" w:rsidRPr="00B220CE" w:rsidRDefault="00811EC9" w:rsidP="00811EC9">
      <w:pPr>
        <w:pStyle w:val="NoSpacing"/>
        <w:numPr>
          <w:ilvl w:val="0"/>
          <w:numId w:val="1"/>
        </w:numPr>
        <w:rPr>
          <w:sz w:val="24"/>
          <w:szCs w:val="24"/>
        </w:rPr>
      </w:pPr>
      <w:r w:rsidRPr="00B220CE">
        <w:rPr>
          <w:sz w:val="24"/>
          <w:szCs w:val="24"/>
        </w:rPr>
        <w:t>which gives me reasonable concern to believe that any of the requirements to comply with the accounting regulations have not been met</w:t>
      </w:r>
    </w:p>
    <w:p w14:paraId="7FBEA0AB" w14:textId="77777777" w:rsidR="00811EC9" w:rsidRPr="00B220CE" w:rsidRDefault="00811EC9" w:rsidP="00811EC9">
      <w:pPr>
        <w:pStyle w:val="NoSpacing"/>
        <w:numPr>
          <w:ilvl w:val="0"/>
          <w:numId w:val="1"/>
        </w:numPr>
        <w:rPr>
          <w:sz w:val="24"/>
          <w:szCs w:val="24"/>
        </w:rPr>
      </w:pPr>
      <w:r w:rsidRPr="00B220CE">
        <w:rPr>
          <w:sz w:val="24"/>
          <w:szCs w:val="24"/>
        </w:rPr>
        <w:t>or, to which, in my opinion, attention should be drawn to in order to enable a thorough understanding of the accounts to be reached.</w:t>
      </w:r>
    </w:p>
    <w:p w14:paraId="4F26C4BE" w14:textId="77777777" w:rsidR="00811EC9" w:rsidRPr="00B220CE" w:rsidRDefault="00811EC9" w:rsidP="00811EC9">
      <w:pPr>
        <w:pStyle w:val="NoSpacing"/>
        <w:rPr>
          <w:sz w:val="24"/>
          <w:szCs w:val="24"/>
        </w:rPr>
      </w:pPr>
    </w:p>
    <w:p w14:paraId="1D569A32" w14:textId="77777777" w:rsidR="00811EC9" w:rsidRPr="00B220CE" w:rsidRDefault="00811EC9" w:rsidP="00811EC9">
      <w:pPr>
        <w:pStyle w:val="NoSpacing"/>
        <w:rPr>
          <w:sz w:val="24"/>
          <w:szCs w:val="24"/>
        </w:rPr>
      </w:pPr>
    </w:p>
    <w:p w14:paraId="1E663C98" w14:textId="77777777" w:rsidR="00811EC9" w:rsidRPr="00B220CE" w:rsidRDefault="00811EC9" w:rsidP="00811EC9">
      <w:pPr>
        <w:pStyle w:val="NoSpacing"/>
        <w:rPr>
          <w:sz w:val="24"/>
          <w:szCs w:val="24"/>
        </w:rPr>
      </w:pPr>
    </w:p>
    <w:p w14:paraId="532F512F" w14:textId="77777777" w:rsidR="00811EC9" w:rsidRDefault="00811EC9" w:rsidP="00811EC9">
      <w:pPr>
        <w:pStyle w:val="NoSpacing"/>
        <w:rPr>
          <w:rFonts w:ascii="Segoe Script" w:hAnsi="Segoe Script"/>
          <w:b/>
          <w:sz w:val="24"/>
          <w:szCs w:val="24"/>
        </w:rPr>
      </w:pPr>
      <w:r>
        <w:rPr>
          <w:rFonts w:ascii="Segoe Script" w:hAnsi="Segoe Script"/>
          <w:b/>
          <w:sz w:val="24"/>
          <w:szCs w:val="24"/>
        </w:rPr>
        <w:t>Peter Shuttleworth</w:t>
      </w:r>
    </w:p>
    <w:p w14:paraId="594A5A3B" w14:textId="77777777" w:rsidR="00811EC9" w:rsidRDefault="00811EC9" w:rsidP="00811EC9">
      <w:pPr>
        <w:pStyle w:val="NoSpacing"/>
        <w:rPr>
          <w:b/>
          <w:sz w:val="24"/>
          <w:szCs w:val="24"/>
        </w:rPr>
      </w:pPr>
      <w:r>
        <w:rPr>
          <w:b/>
          <w:sz w:val="24"/>
          <w:szCs w:val="24"/>
        </w:rPr>
        <w:t>Peter Shuttleworth</w:t>
      </w:r>
    </w:p>
    <w:p w14:paraId="14746154" w14:textId="77777777" w:rsidR="00811EC9" w:rsidRPr="00B220CE" w:rsidRDefault="00811EC9" w:rsidP="00811EC9">
      <w:pPr>
        <w:pStyle w:val="NoSpacing"/>
        <w:rPr>
          <w:b/>
          <w:sz w:val="24"/>
          <w:szCs w:val="24"/>
        </w:rPr>
      </w:pPr>
      <w:r w:rsidRPr="00B220CE">
        <w:rPr>
          <w:b/>
          <w:sz w:val="24"/>
          <w:szCs w:val="24"/>
        </w:rPr>
        <w:t>Independent Examiner</w:t>
      </w:r>
    </w:p>
    <w:p w14:paraId="4FC68977" w14:textId="77777777" w:rsidR="00811EC9" w:rsidRPr="00B220CE" w:rsidRDefault="00811EC9" w:rsidP="00811EC9">
      <w:pPr>
        <w:pStyle w:val="NoSpacing"/>
        <w:rPr>
          <w:b/>
          <w:sz w:val="24"/>
          <w:szCs w:val="24"/>
        </w:rPr>
      </w:pPr>
    </w:p>
    <w:p w14:paraId="0E946BAE" w14:textId="77777777" w:rsidR="00811EC9" w:rsidRPr="00B220CE" w:rsidRDefault="00811EC9" w:rsidP="00811EC9">
      <w:pPr>
        <w:pStyle w:val="NoSpacing"/>
        <w:rPr>
          <w:b/>
          <w:sz w:val="24"/>
          <w:szCs w:val="24"/>
        </w:rPr>
      </w:pPr>
    </w:p>
    <w:p w14:paraId="6EF3B6B1" w14:textId="49E92A68" w:rsidR="00811EC9" w:rsidRDefault="00811EC9" w:rsidP="00811EC9">
      <w:pPr>
        <w:pStyle w:val="NoSpacing"/>
        <w:rPr>
          <w:b/>
          <w:sz w:val="24"/>
          <w:szCs w:val="24"/>
        </w:rPr>
      </w:pPr>
      <w:r>
        <w:rPr>
          <w:b/>
          <w:sz w:val="24"/>
          <w:szCs w:val="24"/>
        </w:rPr>
        <w:t>Date:   January 2025</w:t>
      </w:r>
    </w:p>
    <w:p w14:paraId="49131474" w14:textId="16B4A541" w:rsidR="003F4CB8" w:rsidRDefault="003F4CB8"/>
    <w:sectPr w:rsidR="003F4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Script">
    <w:panose1 w:val="030B0804020000000003"/>
    <w:charset w:val="00"/>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C3783"/>
    <w:multiLevelType w:val="hybridMultilevel"/>
    <w:tmpl w:val="73420D90"/>
    <w:lvl w:ilvl="0" w:tplc="1676FB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2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D3"/>
    <w:rsid w:val="003801E9"/>
    <w:rsid w:val="003F4CB8"/>
    <w:rsid w:val="006F0139"/>
    <w:rsid w:val="00775077"/>
    <w:rsid w:val="00811EC9"/>
    <w:rsid w:val="009725E6"/>
    <w:rsid w:val="00A713A9"/>
    <w:rsid w:val="00AC025E"/>
    <w:rsid w:val="00BE24D3"/>
    <w:rsid w:val="00C66F59"/>
    <w:rsid w:val="00DE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54B9"/>
  <w15:chartTrackingRefBased/>
  <w15:docId w15:val="{DF788D38-F226-1D41-BABA-CBFCDB2B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D3"/>
    <w:rPr>
      <w:rFonts w:eastAsiaTheme="minorEastAsia"/>
    </w:rPr>
  </w:style>
  <w:style w:type="paragraph" w:styleId="Heading1">
    <w:name w:val="heading 1"/>
    <w:basedOn w:val="Normal"/>
    <w:next w:val="Normal"/>
    <w:link w:val="Heading1Char"/>
    <w:uiPriority w:val="9"/>
    <w:qFormat/>
    <w:rsid w:val="00BE2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4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4D3"/>
    <w:rPr>
      <w:rFonts w:eastAsiaTheme="majorEastAsia" w:cstheme="majorBidi"/>
      <w:color w:val="272727" w:themeColor="text1" w:themeTint="D8"/>
    </w:rPr>
  </w:style>
  <w:style w:type="paragraph" w:styleId="Title">
    <w:name w:val="Title"/>
    <w:basedOn w:val="Normal"/>
    <w:next w:val="Normal"/>
    <w:link w:val="TitleChar"/>
    <w:uiPriority w:val="10"/>
    <w:qFormat/>
    <w:rsid w:val="00BE24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4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4D3"/>
    <w:pPr>
      <w:spacing w:before="160" w:after="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BE24D3"/>
    <w:rPr>
      <w:i/>
      <w:iCs/>
      <w:color w:val="404040" w:themeColor="text1" w:themeTint="BF"/>
    </w:rPr>
  </w:style>
  <w:style w:type="paragraph" w:styleId="ListParagraph">
    <w:name w:val="List Paragraph"/>
    <w:basedOn w:val="Normal"/>
    <w:uiPriority w:val="34"/>
    <w:qFormat/>
    <w:rsid w:val="00BE24D3"/>
    <w:pPr>
      <w:ind w:left="720"/>
      <w:contextualSpacing/>
    </w:pPr>
    <w:rPr>
      <w:rFonts w:eastAsiaTheme="minorHAnsi"/>
    </w:rPr>
  </w:style>
  <w:style w:type="character" w:styleId="IntenseEmphasis">
    <w:name w:val="Intense Emphasis"/>
    <w:basedOn w:val="DefaultParagraphFont"/>
    <w:uiPriority w:val="21"/>
    <w:qFormat/>
    <w:rsid w:val="00BE24D3"/>
    <w:rPr>
      <w:i/>
      <w:iCs/>
      <w:color w:val="0F4761" w:themeColor="accent1" w:themeShade="BF"/>
    </w:rPr>
  </w:style>
  <w:style w:type="paragraph" w:styleId="IntenseQuote">
    <w:name w:val="Intense Quote"/>
    <w:basedOn w:val="Normal"/>
    <w:next w:val="Normal"/>
    <w:link w:val="IntenseQuoteChar"/>
    <w:uiPriority w:val="30"/>
    <w:qFormat/>
    <w:rsid w:val="00BE24D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BE24D3"/>
    <w:rPr>
      <w:i/>
      <w:iCs/>
      <w:color w:val="0F4761" w:themeColor="accent1" w:themeShade="BF"/>
    </w:rPr>
  </w:style>
  <w:style w:type="character" w:styleId="IntenseReference">
    <w:name w:val="Intense Reference"/>
    <w:basedOn w:val="DefaultParagraphFont"/>
    <w:uiPriority w:val="32"/>
    <w:qFormat/>
    <w:rsid w:val="00BE24D3"/>
    <w:rPr>
      <w:b/>
      <w:bCs/>
      <w:smallCaps/>
      <w:color w:val="0F4761" w:themeColor="accent1" w:themeShade="BF"/>
      <w:spacing w:val="5"/>
    </w:rPr>
  </w:style>
  <w:style w:type="paragraph" w:styleId="NoSpacing">
    <w:name w:val="No Spacing"/>
    <w:uiPriority w:val="1"/>
    <w:qFormat/>
    <w:rsid w:val="00811E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23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Armitage</dc:creator>
  <cp:keywords/>
  <dc:description/>
  <cp:lastModifiedBy>Phil Armitage</cp:lastModifiedBy>
  <cp:revision>2</cp:revision>
  <dcterms:created xsi:type="dcterms:W3CDTF">2025-05-31T16:32:00Z</dcterms:created>
  <dcterms:modified xsi:type="dcterms:W3CDTF">2025-05-31T16:32:00Z</dcterms:modified>
</cp:coreProperties>
</file>